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4D748D1"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BA1872">
        <w:rPr>
          <w:bCs/>
          <w:noProof w:val="0"/>
          <w:sz w:val="24"/>
          <w:szCs w:val="24"/>
        </w:rPr>
        <w:t>N WG1 Ad-Hoc Meeting 1901</w:t>
      </w:r>
      <w:r w:rsidR="001348FE">
        <w:rPr>
          <w:bCs/>
          <w:noProof w:val="0"/>
          <w:sz w:val="24"/>
          <w:szCs w:val="24"/>
        </w:rPr>
        <w:tab/>
      </w:r>
      <w:r w:rsidR="00BA1872" w:rsidRPr="00B21C2C">
        <w:rPr>
          <w:bCs/>
          <w:noProof w:val="0"/>
          <w:sz w:val="24"/>
          <w:szCs w:val="24"/>
        </w:rPr>
        <w:t>R1-</w:t>
      </w:r>
      <w:r w:rsidR="00E16715" w:rsidRPr="00B21C2C">
        <w:rPr>
          <w:bCs/>
          <w:noProof w:val="0"/>
          <w:sz w:val="24"/>
          <w:szCs w:val="24"/>
        </w:rPr>
        <w:t>19006</w:t>
      </w:r>
      <w:r w:rsidR="00594068" w:rsidRPr="00B21C2C">
        <w:rPr>
          <w:bCs/>
          <w:noProof w:val="0"/>
          <w:sz w:val="24"/>
          <w:szCs w:val="24"/>
        </w:rPr>
        <w:t>9</w:t>
      </w:r>
      <w:r w:rsidR="00E16715" w:rsidRPr="00B21C2C">
        <w:rPr>
          <w:bCs/>
          <w:noProof w:val="0"/>
          <w:sz w:val="24"/>
          <w:szCs w:val="24"/>
        </w:rPr>
        <w:t>6</w:t>
      </w:r>
    </w:p>
    <w:p w14:paraId="30E02940" w14:textId="3E50957B" w:rsidR="00CA26CE" w:rsidRDefault="00BA1872" w:rsidP="00CA26CE">
      <w:pPr>
        <w:pStyle w:val="Header"/>
        <w:rPr>
          <w:bCs/>
          <w:noProof w:val="0"/>
          <w:sz w:val="24"/>
          <w:szCs w:val="24"/>
        </w:rPr>
      </w:pPr>
      <w:r>
        <w:rPr>
          <w:bCs/>
          <w:noProof w:val="0"/>
          <w:sz w:val="24"/>
          <w:szCs w:val="24"/>
        </w:rPr>
        <w:t>Taipei, Taiwan, 21</w:t>
      </w:r>
      <w:r w:rsidRPr="00BA1872">
        <w:rPr>
          <w:bCs/>
          <w:noProof w:val="0"/>
          <w:sz w:val="24"/>
          <w:szCs w:val="24"/>
          <w:vertAlign w:val="superscript"/>
        </w:rPr>
        <w:t>st</w:t>
      </w:r>
      <w:r>
        <w:rPr>
          <w:bCs/>
          <w:noProof w:val="0"/>
          <w:sz w:val="24"/>
          <w:szCs w:val="24"/>
        </w:rPr>
        <w:t xml:space="preserve"> – 25</w:t>
      </w:r>
      <w:r w:rsidRPr="00BA1872">
        <w:rPr>
          <w:bCs/>
          <w:noProof w:val="0"/>
          <w:sz w:val="24"/>
          <w:szCs w:val="24"/>
          <w:vertAlign w:val="superscript"/>
        </w:rPr>
        <w:t>th</w:t>
      </w:r>
      <w:r>
        <w:rPr>
          <w:bCs/>
          <w:noProof w:val="0"/>
          <w:sz w:val="24"/>
          <w:szCs w:val="24"/>
        </w:rPr>
        <w:t xml:space="preserve"> January, 2019</w:t>
      </w:r>
    </w:p>
    <w:p w14:paraId="2CFE1919" w14:textId="77777777" w:rsidR="00850D96" w:rsidRPr="00850D96" w:rsidRDefault="00850D96" w:rsidP="00CA26CE">
      <w:pPr>
        <w:pStyle w:val="Header"/>
        <w:rPr>
          <w:bCs/>
          <w:noProof w:val="0"/>
          <w:sz w:val="24"/>
          <w:lang w:val="en-GB" w:eastAsia="ja-JP"/>
        </w:rPr>
      </w:pPr>
    </w:p>
    <w:p w14:paraId="30E02941" w14:textId="6E32ED4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236F39">
        <w:rPr>
          <w:rFonts w:cs="Arial"/>
          <w:b/>
          <w:bCs/>
          <w:sz w:val="24"/>
          <w:szCs w:val="24"/>
        </w:rPr>
        <w:t>.13.1</w:t>
      </w:r>
      <w:bookmarkStart w:id="0" w:name="_GoBack"/>
      <w:bookmarkEnd w:id="0"/>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AA975E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B0D4A">
        <w:rPr>
          <w:rFonts w:ascii="Arial" w:hAnsi="Arial" w:cs="Arial"/>
          <w:b/>
          <w:bCs/>
          <w:sz w:val="24"/>
        </w:rPr>
        <w:t>Uplink PC for NR-NR Dual Connectivity</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48253AEB" w:rsidR="00ED1327" w:rsidRPr="00ED1327" w:rsidRDefault="00EE7FA7" w:rsidP="00ED1327">
      <w:pPr>
        <w:pStyle w:val="Heading1"/>
      </w:pPr>
      <w:r w:rsidRPr="0016316A">
        <w:t>Introduction</w:t>
      </w:r>
    </w:p>
    <w:p w14:paraId="0CCB915E" w14:textId="39E4B408" w:rsidR="005B0D4A" w:rsidRDefault="005B0D4A" w:rsidP="00A64A6E">
      <w:bookmarkStart w:id="1" w:name="_Hlk510705081"/>
      <w:r>
        <w:t xml:space="preserve">RAN#81 in September approved a </w:t>
      </w:r>
      <w:r w:rsidRPr="005B0D4A">
        <w:t>WID on Multi-RAT Dual-Connectivity and Carrier Aggregation enhancements (LTE_NR_DC_CA_enh-Core)</w:t>
      </w:r>
      <w:r>
        <w:t xml:space="preserve"> that includes the following objective [1]:</w:t>
      </w:r>
    </w:p>
    <w:tbl>
      <w:tblPr>
        <w:tblStyle w:val="TableGrid"/>
        <w:tblW w:w="0" w:type="auto"/>
        <w:tblInd w:w="421" w:type="dxa"/>
        <w:tblLook w:val="04A0" w:firstRow="1" w:lastRow="0" w:firstColumn="1" w:lastColumn="0" w:noHBand="0" w:noVBand="1"/>
      </w:tblPr>
      <w:tblGrid>
        <w:gridCol w:w="8788"/>
      </w:tblGrid>
      <w:tr w:rsidR="00B158E6" w14:paraId="055EFE61" w14:textId="77777777" w:rsidTr="00B158E6">
        <w:tc>
          <w:tcPr>
            <w:tcW w:w="8788" w:type="dxa"/>
          </w:tcPr>
          <w:p w14:paraId="44CD5FCF" w14:textId="77777777" w:rsidR="00B158E6" w:rsidRPr="00B158E6" w:rsidRDefault="00B158E6" w:rsidP="00AA7871">
            <w:pPr>
              <w:numPr>
                <w:ilvl w:val="0"/>
                <w:numId w:val="15"/>
              </w:numPr>
              <w:spacing w:after="0"/>
              <w:ind w:left="360"/>
              <w:jc w:val="both"/>
              <w:rPr>
                <w:bCs/>
                <w:color w:val="0070C0"/>
                <w:lang w:val="en-US"/>
              </w:rPr>
            </w:pPr>
            <w:r w:rsidRPr="00B158E6">
              <w:rPr>
                <w:bCs/>
                <w:color w:val="0070C0"/>
                <w:lang w:val="en-US"/>
              </w:rPr>
              <w:t>Support of asynchronous and synchronous NR-NR Dual Connectivity [RAN1, RAN2, RAN4]</w:t>
            </w:r>
          </w:p>
          <w:p w14:paraId="15E17260" w14:textId="77777777" w:rsidR="00B158E6" w:rsidRPr="00B158E6" w:rsidRDefault="00B158E6" w:rsidP="00AA7871">
            <w:pPr>
              <w:numPr>
                <w:ilvl w:val="1"/>
                <w:numId w:val="15"/>
              </w:numPr>
              <w:spacing w:after="0"/>
              <w:ind w:left="1080"/>
              <w:jc w:val="both"/>
              <w:rPr>
                <w:bCs/>
                <w:color w:val="0070C0"/>
                <w:lang w:val="en-US"/>
              </w:rPr>
            </w:pPr>
            <w:r w:rsidRPr="00B158E6">
              <w:rPr>
                <w:bCs/>
                <w:color w:val="0070C0"/>
                <w:lang w:val="en-US"/>
              </w:rPr>
              <w:t>UE power control [RAN1]</w:t>
            </w:r>
          </w:p>
          <w:p w14:paraId="04ED8F1E" w14:textId="77777777" w:rsidR="00B158E6" w:rsidRPr="00B158E6" w:rsidRDefault="00B158E6" w:rsidP="00AA7871">
            <w:pPr>
              <w:numPr>
                <w:ilvl w:val="1"/>
                <w:numId w:val="15"/>
              </w:numPr>
              <w:spacing w:after="0"/>
              <w:ind w:left="1080"/>
              <w:jc w:val="both"/>
              <w:rPr>
                <w:bCs/>
                <w:color w:val="0070C0"/>
                <w:lang w:val="en-US"/>
              </w:rPr>
            </w:pPr>
            <w:r w:rsidRPr="00B158E6">
              <w:rPr>
                <w:bCs/>
                <w:color w:val="0070C0"/>
                <w:lang w:val="en-US"/>
              </w:rPr>
              <w:t>RRC signalling to support of enhanced NR-NR DC [RAN2]</w:t>
            </w:r>
          </w:p>
          <w:p w14:paraId="289814E4" w14:textId="77777777" w:rsidR="00B158E6" w:rsidRPr="00B158E6" w:rsidRDefault="00B158E6" w:rsidP="00AA7871">
            <w:pPr>
              <w:numPr>
                <w:ilvl w:val="1"/>
                <w:numId w:val="15"/>
              </w:numPr>
              <w:spacing w:after="0"/>
              <w:ind w:left="1080"/>
              <w:jc w:val="both"/>
              <w:rPr>
                <w:bCs/>
                <w:color w:val="0070C0"/>
                <w:lang w:val="en-US"/>
              </w:rPr>
            </w:pPr>
            <w:r w:rsidRPr="00B158E6">
              <w:rPr>
                <w:bCs/>
                <w:color w:val="0070C0"/>
                <w:lang w:val="en-US"/>
              </w:rPr>
              <w:t>Core requirements to support enhanced NR-NR DC [RAN4]</w:t>
            </w:r>
          </w:p>
          <w:p w14:paraId="5A54E195" w14:textId="07E5B58A" w:rsidR="00B158E6" w:rsidRPr="00AA7871" w:rsidRDefault="00B158E6" w:rsidP="00AA7871">
            <w:pPr>
              <w:spacing w:after="0"/>
              <w:jc w:val="both"/>
              <w:rPr>
                <w:bCs/>
                <w:color w:val="0070C0"/>
                <w:lang w:val="en-US"/>
              </w:rPr>
            </w:pPr>
            <w:r w:rsidRPr="00B158E6">
              <w:rPr>
                <w:bCs/>
                <w:color w:val="0070C0"/>
                <w:lang w:val="en-US"/>
              </w:rPr>
              <w:t xml:space="preserve">Note: Synchronous DC enhancements in this WID considers only cases not covered in Rel-15 exception sheet for NR WI NR_newRAT-Core. </w:t>
            </w:r>
          </w:p>
        </w:tc>
      </w:tr>
    </w:tbl>
    <w:p w14:paraId="11068C7C" w14:textId="57FF1705" w:rsidR="00B158E6" w:rsidRDefault="00B158E6" w:rsidP="00A64A6E"/>
    <w:p w14:paraId="278706FA" w14:textId="06F4F649" w:rsidR="00B158E6" w:rsidRDefault="00B158E6" w:rsidP="00B158E6">
      <w:pPr>
        <w:rPr>
          <w:lang w:val="en-US"/>
        </w:rPr>
      </w:pPr>
      <w:r>
        <w:rPr>
          <w:lang w:val="en-US"/>
        </w:rPr>
        <w:t xml:space="preserve">The noted exception sheet listed the following points for NR-NR DC </w:t>
      </w:r>
      <w:r w:rsidR="00AA7871">
        <w:rPr>
          <w:lang w:val="en-US"/>
        </w:rPr>
        <w:t xml:space="preserve">relevant to RAN1 </w:t>
      </w:r>
      <w:r>
        <w:rPr>
          <w:lang w:val="en-US"/>
        </w:rPr>
        <w:t>[2]:</w:t>
      </w:r>
    </w:p>
    <w:tbl>
      <w:tblPr>
        <w:tblStyle w:val="TableGrid"/>
        <w:tblW w:w="0" w:type="auto"/>
        <w:tblInd w:w="421" w:type="dxa"/>
        <w:tblLook w:val="04A0" w:firstRow="1" w:lastRow="0" w:firstColumn="1" w:lastColumn="0" w:noHBand="0" w:noVBand="1"/>
      </w:tblPr>
      <w:tblGrid>
        <w:gridCol w:w="8788"/>
      </w:tblGrid>
      <w:tr w:rsidR="00B158E6" w14:paraId="256BEDC4" w14:textId="77777777" w:rsidTr="00CA1D44">
        <w:tc>
          <w:tcPr>
            <w:tcW w:w="8788" w:type="dxa"/>
          </w:tcPr>
          <w:p w14:paraId="0223638A" w14:textId="77777777" w:rsidR="00B158E6" w:rsidRPr="00B158E6" w:rsidRDefault="00B158E6" w:rsidP="00CA1D44">
            <w:pPr>
              <w:spacing w:after="0"/>
              <w:rPr>
                <w:color w:val="0070C0"/>
                <w:u w:val="single"/>
                <w:lang w:eastAsia="ja-JP"/>
              </w:rPr>
            </w:pPr>
            <w:r w:rsidRPr="00B158E6">
              <w:rPr>
                <w:color w:val="0070C0"/>
                <w:u w:val="single"/>
                <w:lang w:eastAsia="ja-JP"/>
              </w:rPr>
              <w:t>For SA (Option 2) only:</w:t>
            </w:r>
          </w:p>
          <w:p w14:paraId="22AE59E2" w14:textId="77777777" w:rsidR="00B158E6" w:rsidRPr="00B158E6" w:rsidRDefault="00B158E6" w:rsidP="00CA1D44">
            <w:pPr>
              <w:pStyle w:val="ListParagraph"/>
              <w:numPr>
                <w:ilvl w:val="0"/>
                <w:numId w:val="19"/>
              </w:numPr>
              <w:jc w:val="both"/>
              <w:rPr>
                <w:bCs/>
                <w:color w:val="0070C0"/>
                <w:sz w:val="20"/>
                <w:szCs w:val="20"/>
                <w:lang w:val="en-US"/>
              </w:rPr>
            </w:pPr>
            <w:r w:rsidRPr="00B158E6">
              <w:rPr>
                <w:bCs/>
                <w:color w:val="0070C0"/>
                <w:sz w:val="20"/>
                <w:szCs w:val="20"/>
                <w:lang w:val="en-US"/>
              </w:rPr>
              <w:t>NR-NR Dual connectivity aspects</w:t>
            </w:r>
          </w:p>
          <w:p w14:paraId="15BB0827" w14:textId="77777777" w:rsidR="00B158E6" w:rsidRPr="00B158E6" w:rsidRDefault="00B158E6" w:rsidP="00CA1D44">
            <w:pPr>
              <w:pStyle w:val="ListParagraph"/>
              <w:numPr>
                <w:ilvl w:val="1"/>
                <w:numId w:val="18"/>
              </w:numPr>
              <w:jc w:val="both"/>
              <w:rPr>
                <w:bCs/>
                <w:color w:val="0070C0"/>
                <w:sz w:val="20"/>
                <w:szCs w:val="20"/>
                <w:lang w:val="en-US"/>
              </w:rPr>
            </w:pPr>
            <w:r w:rsidRPr="00B158E6">
              <w:rPr>
                <w:bCs/>
                <w:color w:val="0070C0"/>
                <w:sz w:val="20"/>
                <w:szCs w:val="20"/>
                <w:lang w:val="en-US"/>
              </w:rPr>
              <w:t>synchronous mode from physical layer aspects;</w:t>
            </w:r>
          </w:p>
          <w:p w14:paraId="43346A81" w14:textId="77777777" w:rsidR="00B158E6" w:rsidRPr="00B158E6" w:rsidRDefault="00B158E6" w:rsidP="00CA1D44">
            <w:pPr>
              <w:pStyle w:val="ListParagraph"/>
              <w:numPr>
                <w:ilvl w:val="1"/>
                <w:numId w:val="18"/>
              </w:numPr>
              <w:jc w:val="both"/>
              <w:rPr>
                <w:bCs/>
                <w:color w:val="0070C0"/>
                <w:sz w:val="20"/>
                <w:szCs w:val="20"/>
                <w:lang w:val="en-US"/>
              </w:rPr>
            </w:pPr>
            <w:r w:rsidRPr="00B158E6">
              <w:rPr>
                <w:bCs/>
                <w:color w:val="0070C0"/>
                <w:sz w:val="20"/>
                <w:szCs w:val="20"/>
                <w:lang w:val="en-US"/>
              </w:rPr>
              <w:t>Band combination(s) for FR1 + FR2;</w:t>
            </w:r>
          </w:p>
          <w:p w14:paraId="4CE6A264" w14:textId="77777777" w:rsidR="00B158E6" w:rsidRPr="00B158E6" w:rsidRDefault="00B158E6" w:rsidP="00CA1D44">
            <w:pPr>
              <w:pStyle w:val="ListParagraph"/>
              <w:numPr>
                <w:ilvl w:val="1"/>
                <w:numId w:val="18"/>
              </w:numPr>
              <w:jc w:val="both"/>
              <w:rPr>
                <w:bCs/>
                <w:color w:val="0070C0"/>
                <w:sz w:val="20"/>
                <w:szCs w:val="20"/>
                <w:lang w:val="en-US"/>
              </w:rPr>
            </w:pPr>
            <w:r w:rsidRPr="00B158E6">
              <w:rPr>
                <w:bCs/>
                <w:color w:val="0070C0"/>
                <w:sz w:val="20"/>
                <w:szCs w:val="20"/>
                <w:lang w:val="en-US"/>
              </w:rPr>
              <w:t>MCG fully in FR1 and SCG fully in FR2</w:t>
            </w:r>
          </w:p>
          <w:p w14:paraId="46F0B3C3" w14:textId="77777777" w:rsidR="00B158E6" w:rsidRPr="00B158E6" w:rsidRDefault="00B158E6" w:rsidP="00CA1D44">
            <w:pPr>
              <w:pStyle w:val="ListParagraph"/>
              <w:numPr>
                <w:ilvl w:val="1"/>
                <w:numId w:val="18"/>
              </w:numPr>
              <w:jc w:val="both"/>
              <w:rPr>
                <w:bCs/>
                <w:color w:val="0070C0"/>
                <w:sz w:val="20"/>
                <w:szCs w:val="20"/>
                <w:lang w:val="en-US"/>
              </w:rPr>
            </w:pPr>
            <w:r w:rsidRPr="00B158E6">
              <w:rPr>
                <w:bCs/>
                <w:color w:val="0070C0"/>
                <w:sz w:val="20"/>
                <w:szCs w:val="20"/>
                <w:lang w:val="en-US"/>
              </w:rPr>
              <w:t>Common radio protocols and network interfaces applicable to both synchronous and asynchronous mode of operations.</w:t>
            </w:r>
          </w:p>
          <w:p w14:paraId="1B2D2D16" w14:textId="77777777" w:rsidR="00B158E6" w:rsidRDefault="00B158E6" w:rsidP="00CA1D44">
            <w:pPr>
              <w:tabs>
                <w:tab w:val="left" w:pos="365"/>
              </w:tabs>
              <w:overflowPunct/>
              <w:autoSpaceDE/>
              <w:autoSpaceDN/>
              <w:snapToGrid w:val="0"/>
              <w:spacing w:after="0"/>
              <w:textAlignment w:val="auto"/>
              <w:rPr>
                <w:rFonts w:ascii="Arial" w:hAnsi="Arial" w:cs="Arial"/>
                <w:lang w:eastAsia="ja-JP"/>
              </w:rPr>
            </w:pPr>
            <w:r>
              <w:rPr>
                <w:rFonts w:ascii="Arial" w:hAnsi="Arial" w:cs="Arial"/>
                <w:lang w:eastAsia="ja-JP"/>
              </w:rPr>
              <w:t>…</w:t>
            </w:r>
          </w:p>
          <w:p w14:paraId="2F277864" w14:textId="77777777" w:rsidR="00B158E6" w:rsidRPr="00B158E6" w:rsidRDefault="00B158E6" w:rsidP="00CA1D44">
            <w:pPr>
              <w:pStyle w:val="Index1"/>
              <w:numPr>
                <w:ilvl w:val="0"/>
                <w:numId w:val="20"/>
              </w:numPr>
              <w:rPr>
                <w:bCs/>
                <w:color w:val="0070C0"/>
                <w:lang w:eastAsia="ja-JP"/>
              </w:rPr>
            </w:pPr>
            <w:r w:rsidRPr="00B158E6">
              <w:rPr>
                <w:rFonts w:hint="eastAsia"/>
                <w:bCs/>
                <w:color w:val="0070C0"/>
                <w:lang w:eastAsia="ja-JP"/>
              </w:rPr>
              <w:t>RAN1</w:t>
            </w:r>
          </w:p>
          <w:p w14:paraId="18424E2D" w14:textId="77777777" w:rsidR="00B158E6" w:rsidRPr="00B158E6" w:rsidRDefault="00B158E6" w:rsidP="00CA1D44">
            <w:pPr>
              <w:pStyle w:val="Index1"/>
              <w:rPr>
                <w:bCs/>
                <w:color w:val="0070C0"/>
                <w:lang w:eastAsia="ja-JP"/>
              </w:rPr>
            </w:pPr>
            <w:r w:rsidRPr="00B158E6">
              <w:rPr>
                <w:bCs/>
                <w:color w:val="0070C0"/>
                <w:lang w:eastAsia="ja-JP"/>
              </w:rPr>
              <w:t>…</w:t>
            </w:r>
          </w:p>
          <w:p w14:paraId="42BDD084" w14:textId="77777777" w:rsidR="00B158E6" w:rsidRPr="00B158E6" w:rsidRDefault="00B158E6" w:rsidP="00CA1D44">
            <w:pPr>
              <w:pStyle w:val="Index1"/>
              <w:numPr>
                <w:ilvl w:val="1"/>
                <w:numId w:val="20"/>
              </w:numPr>
              <w:rPr>
                <w:bCs/>
                <w:color w:val="0070C0"/>
                <w:lang w:eastAsia="ja-JP"/>
              </w:rPr>
            </w:pPr>
            <w:r w:rsidRPr="00B158E6">
              <w:rPr>
                <w:rFonts w:hint="eastAsia"/>
                <w:bCs/>
                <w:color w:val="0070C0"/>
                <w:lang w:eastAsia="ja-JP"/>
              </w:rPr>
              <w:t>NR-NR Dual Connectivity</w:t>
            </w:r>
          </w:p>
          <w:p w14:paraId="06F52C54" w14:textId="77777777" w:rsidR="00B158E6" w:rsidRPr="00B158E6" w:rsidRDefault="00B158E6" w:rsidP="00CA1D44">
            <w:pPr>
              <w:pStyle w:val="Index1"/>
              <w:numPr>
                <w:ilvl w:val="2"/>
                <w:numId w:val="20"/>
              </w:numPr>
              <w:rPr>
                <w:bCs/>
                <w:color w:val="0070C0"/>
                <w:lang w:eastAsia="ja-JP"/>
              </w:rPr>
            </w:pPr>
            <w:r w:rsidRPr="00B158E6">
              <w:rPr>
                <w:bCs/>
                <w:color w:val="0070C0"/>
                <w:lang w:eastAsia="ja-JP"/>
              </w:rPr>
              <w:t>Synchronous operation</w:t>
            </w:r>
          </w:p>
          <w:p w14:paraId="06B233DD" w14:textId="77777777" w:rsidR="00B158E6" w:rsidRPr="00B158E6" w:rsidRDefault="00B158E6" w:rsidP="00CA1D44">
            <w:pPr>
              <w:pStyle w:val="Index1"/>
              <w:numPr>
                <w:ilvl w:val="2"/>
                <w:numId w:val="20"/>
              </w:numPr>
              <w:rPr>
                <w:bCs/>
                <w:color w:val="0070C0"/>
                <w:lang w:eastAsia="ja-JP"/>
              </w:rPr>
            </w:pPr>
            <w:r w:rsidRPr="00B158E6">
              <w:rPr>
                <w:bCs/>
                <w:color w:val="0070C0"/>
                <w:lang w:eastAsia="ja-JP"/>
              </w:rPr>
              <w:t>Minimum RAN1 impact and no HW impact</w:t>
            </w:r>
          </w:p>
          <w:p w14:paraId="7D7C523D" w14:textId="77777777" w:rsidR="00B158E6" w:rsidRPr="00B158E6" w:rsidRDefault="00B158E6" w:rsidP="00CA1D44">
            <w:pPr>
              <w:pStyle w:val="Index1"/>
              <w:numPr>
                <w:ilvl w:val="2"/>
                <w:numId w:val="20"/>
              </w:numPr>
              <w:rPr>
                <w:bCs/>
                <w:color w:val="0070C0"/>
                <w:lang w:eastAsia="ja-JP"/>
              </w:rPr>
            </w:pPr>
            <w:r w:rsidRPr="00B158E6">
              <w:rPr>
                <w:rFonts w:hint="eastAsia"/>
                <w:bCs/>
                <w:color w:val="0070C0"/>
                <w:lang w:eastAsia="ja-JP"/>
              </w:rPr>
              <w:t>N</w:t>
            </w:r>
            <w:r w:rsidRPr="00B158E6">
              <w:rPr>
                <w:bCs/>
                <w:color w:val="0070C0"/>
                <w:lang w:eastAsia="ja-JP"/>
              </w:rPr>
              <w:t>o PUCCH-SCell</w:t>
            </w:r>
          </w:p>
        </w:tc>
      </w:tr>
    </w:tbl>
    <w:p w14:paraId="702301FD" w14:textId="6A4C3AA8" w:rsidR="00B158E6" w:rsidRDefault="00B158E6" w:rsidP="00A64A6E"/>
    <w:p w14:paraId="09732B88" w14:textId="3A1DF2EC" w:rsidR="00AA7871" w:rsidRDefault="00AA7871" w:rsidP="00A64A6E">
      <w:r>
        <w:t>The point of the note referring to the exception sheet is understood to mean that the WI does not mandate redesigning things that are included in Rel-15, but introduce support for cases that are n</w:t>
      </w:r>
      <w:r w:rsidR="00092E88">
        <w:t>ot yet there.</w:t>
      </w:r>
      <w:r w:rsidR="00900900">
        <w:t xml:space="preserve"> </w:t>
      </w:r>
      <w:r w:rsidR="00900900">
        <w:rPr>
          <w:rFonts w:eastAsia="Malgun Gothic"/>
        </w:rPr>
        <w:t>In this contribution, we discuss all the possible scenarios and considerations to support enhanced DC and CA.</w:t>
      </w:r>
    </w:p>
    <w:bookmarkEnd w:id="1"/>
    <w:p w14:paraId="0689E315" w14:textId="568C8E06" w:rsidR="004741F0" w:rsidRDefault="004741F0" w:rsidP="00885580">
      <w:pPr>
        <w:pStyle w:val="Heading1"/>
      </w:pPr>
      <w:r>
        <w:t>Discussion</w:t>
      </w:r>
    </w:p>
    <w:p w14:paraId="0CC910D7" w14:textId="12115126" w:rsidR="00900900" w:rsidRDefault="00900900" w:rsidP="004741F0">
      <w:pPr>
        <w:pStyle w:val="Heading2"/>
      </w:pPr>
      <w:r w:rsidRPr="00900900">
        <w:t>Background: Rel-15 NR uplink power control</w:t>
      </w:r>
    </w:p>
    <w:p w14:paraId="028369EF" w14:textId="3D62D368" w:rsidR="00900900" w:rsidRDefault="00900900" w:rsidP="00470665">
      <w:pPr>
        <w:ind w:firstLineChars="50" w:firstLine="100"/>
      </w:pPr>
      <w:r>
        <w:rPr>
          <w:rFonts w:hint="eastAsia"/>
        </w:rPr>
        <w:t>During Rel-15, in a wide scope, power control has a consideration on two</w:t>
      </w:r>
      <w:r w:rsidR="00483FB2">
        <w:t xml:space="preserve"> separated</w:t>
      </w:r>
      <w:r>
        <w:rPr>
          <w:rFonts w:hint="eastAsia"/>
        </w:rPr>
        <w:t xml:space="preserve"> scenarios,</w:t>
      </w:r>
      <w:r>
        <w:t xml:space="preserve"> single CC with single TRP operation, and CA/DC with </w:t>
      </w:r>
      <w:r w:rsidR="00724A3D">
        <w:t>co-located cell operation</w:t>
      </w:r>
      <w:r>
        <w:t xml:space="preserve">. </w:t>
      </w:r>
    </w:p>
    <w:p w14:paraId="4292C74F" w14:textId="3BDD4C44" w:rsidR="00900900" w:rsidRDefault="00900900" w:rsidP="00900900">
      <w:r>
        <w:t xml:space="preserve"> In single CC operation, RAN1 stribed to support beam form</w:t>
      </w:r>
      <w:r w:rsidR="00F76254">
        <w:t>ed</w:t>
      </w:r>
      <w:r>
        <w:t xml:space="preserve"> uplink transmission where dynamic beam change can cause sudden </w:t>
      </w:r>
      <w:r w:rsidR="00F76254">
        <w:t>variation</w:t>
      </w:r>
      <w:r>
        <w:t xml:space="preserve"> </w:t>
      </w:r>
      <w:r w:rsidR="00F76254">
        <w:t xml:space="preserve">on required uplink transmission power. As a solution, Rel-15 gNb can configure multiple of power control settings including pathloss measurement RS and power offset, then down select one of them via DCI for each UL transmission. Due to the lack of UE’s capability on L3-RSRP (pathloss) measurement, limited number of RS can be configured as pathloss reference signal. </w:t>
      </w:r>
      <w:r w:rsidR="00483FB2">
        <w:t>So the misalignment between the RS/beam utilized for pathloss measurement and the actual beam in use can happen, but the difference can be managed via UL beam specific power offset.</w:t>
      </w:r>
    </w:p>
    <w:p w14:paraId="2897133D" w14:textId="77777777" w:rsidR="001C0394" w:rsidRDefault="001C0394" w:rsidP="001C0394">
      <w:r w:rsidRPr="008D6277">
        <w:rPr>
          <w:rFonts w:eastAsia="Malgun Gothic"/>
          <w:b/>
          <w:i/>
        </w:rPr>
        <w:lastRenderedPageBreak/>
        <w:t>O</w:t>
      </w:r>
      <w:r w:rsidRPr="008D6277">
        <w:rPr>
          <w:rFonts w:eastAsia="Malgun Gothic" w:hint="eastAsia"/>
          <w:b/>
          <w:i/>
        </w:rPr>
        <w:t xml:space="preserve">bservation </w:t>
      </w:r>
      <w:r w:rsidRPr="008D6277">
        <w:rPr>
          <w:rFonts w:eastAsia="Malgun Gothic"/>
          <w:b/>
          <w:i/>
        </w:rPr>
        <w:t>1:</w:t>
      </w:r>
      <w:r>
        <w:rPr>
          <w:rFonts w:eastAsia="Malgun Gothic"/>
          <w:b/>
          <w:i/>
        </w:rPr>
        <w:t xml:space="preserve"> Power control should be able to support beam specific operation</w:t>
      </w:r>
    </w:p>
    <w:p w14:paraId="2AF2FFB0" w14:textId="5E0E12B5" w:rsidR="006B4C16" w:rsidRDefault="00483FB2" w:rsidP="00900900">
      <w:r>
        <w:rPr>
          <w:rFonts w:hint="eastAsia"/>
        </w:rPr>
        <w:t xml:space="preserve"> In CA/DC </w:t>
      </w:r>
      <w:r>
        <w:t xml:space="preserve">operation, including late drop, Rel-15 defined both dynamic inter-carrier/connection and semi-persistent inter-carrier/connection power sharing where the same/different power control rules can be applied within different carrier/connection. </w:t>
      </w:r>
      <w:r w:rsidR="006B4C16">
        <w:t>For NR CA in the same frequency range, RAN1 agreed to mostly reuse LTE CA power control algorithm, and the priority on power reduction or transmission drop was agreed in the specification. For LTE</w:t>
      </w:r>
      <w:r w:rsidR="001C0394">
        <w:t>-NR DC</w:t>
      </w:r>
      <w:r w:rsidR="006B4C16">
        <w:t xml:space="preserve">, according to the UE’s capability, gNb can configure dynamic power sharing with maximum transmission power per connection, TDM pattern based power division between connection, or semi-persistent power division between connection. For NR FR1+ NR FR2 operation, many companies showed their </w:t>
      </w:r>
      <w:r w:rsidR="008E47B4">
        <w:t>view that no further RAN1 specificaiton is needed</w:t>
      </w:r>
      <w:r w:rsidR="001C0394">
        <w:t xml:space="preserve"> due to the separated operation (no power sharing)</w:t>
      </w:r>
      <w:r w:rsidR="008E47B4">
        <w:t>, and conclusion was made that no speficiation impact is observed for synchronoised DC with NR in FR1 + NR in FR2.</w:t>
      </w:r>
      <w:r w:rsidR="001C0394">
        <w:t xml:space="preserve"> Within each carrier/connection, power control follows each RAT’s rule with the maximum transmission power allowed for each connection.</w:t>
      </w:r>
    </w:p>
    <w:p w14:paraId="1A95F718" w14:textId="7394A9FB" w:rsidR="001C0394" w:rsidRDefault="001C0394" w:rsidP="001C0394">
      <w:r w:rsidRPr="008D6277">
        <w:rPr>
          <w:rFonts w:eastAsia="Malgun Gothic"/>
          <w:b/>
          <w:i/>
        </w:rPr>
        <w:t>O</w:t>
      </w:r>
      <w:r w:rsidRPr="008D6277">
        <w:rPr>
          <w:rFonts w:eastAsia="Malgun Gothic" w:hint="eastAsia"/>
          <w:b/>
          <w:i/>
        </w:rPr>
        <w:t xml:space="preserve">bservation </w:t>
      </w:r>
      <w:r>
        <w:rPr>
          <w:rFonts w:eastAsia="Malgun Gothic"/>
          <w:b/>
          <w:i/>
        </w:rPr>
        <w:t>2</w:t>
      </w:r>
      <w:r w:rsidRPr="008D6277">
        <w:rPr>
          <w:rFonts w:eastAsia="Malgun Gothic"/>
          <w:b/>
          <w:i/>
        </w:rPr>
        <w:t>:</w:t>
      </w:r>
      <w:r>
        <w:rPr>
          <w:rFonts w:eastAsia="Malgun Gothic"/>
          <w:b/>
          <w:i/>
        </w:rPr>
        <w:t xml:space="preserve"> </w:t>
      </w:r>
      <w:r w:rsidR="00724A3D">
        <w:rPr>
          <w:rFonts w:eastAsia="Malgun Gothic"/>
          <w:b/>
          <w:i/>
        </w:rPr>
        <w:t>Rel-15 power control is composed by two separated parts, i</w:t>
      </w:r>
      <w:r>
        <w:rPr>
          <w:rFonts w:eastAsia="Malgun Gothic"/>
          <w:b/>
          <w:i/>
        </w:rPr>
        <w:t xml:space="preserve">nter-carrier/connection power sharing </w:t>
      </w:r>
      <w:r w:rsidR="00724A3D">
        <w:rPr>
          <w:rFonts w:eastAsia="Malgun Gothic"/>
          <w:b/>
          <w:i/>
        </w:rPr>
        <w:t xml:space="preserve">and </w:t>
      </w:r>
      <w:r>
        <w:rPr>
          <w:rFonts w:eastAsia="Malgun Gothic"/>
          <w:b/>
          <w:i/>
        </w:rPr>
        <w:t>power control within each carrier/connection</w:t>
      </w:r>
    </w:p>
    <w:p w14:paraId="0C70B949" w14:textId="77777777" w:rsidR="001C0394" w:rsidRPr="00900900" w:rsidRDefault="001C0394" w:rsidP="00470665"/>
    <w:p w14:paraId="10445A01" w14:textId="6B6E97F9" w:rsidR="00885580" w:rsidRDefault="00092E88" w:rsidP="004741F0">
      <w:pPr>
        <w:pStyle w:val="Heading2"/>
      </w:pPr>
      <w:r>
        <w:t>Scope of the work on UL PC for NR-NR DC</w:t>
      </w:r>
    </w:p>
    <w:p w14:paraId="3BD989DE" w14:textId="7742C7E2" w:rsidR="00885580" w:rsidRDefault="001C0394" w:rsidP="00594068">
      <w:pPr>
        <w:ind w:firstLineChars="50" w:firstLine="100"/>
      </w:pPr>
      <w:r>
        <w:t>As shown in the backgound or in WID, t</w:t>
      </w:r>
      <w:r w:rsidR="00092E88">
        <w:t xml:space="preserve">he following cases </w:t>
      </w:r>
      <w:r>
        <w:t xml:space="preserve">are not treated in </w:t>
      </w:r>
      <w:r w:rsidR="00092E88">
        <w:t>Rel-15</w:t>
      </w:r>
      <w:r>
        <w:t>, and</w:t>
      </w:r>
      <w:r w:rsidR="00092E88">
        <w:t xml:space="preserve"> </w:t>
      </w:r>
      <w:r w:rsidR="00F233EF">
        <w:t>could</w:t>
      </w:r>
      <w:r w:rsidR="00092E88">
        <w:t xml:space="preserve"> be considered within this work item:</w:t>
      </w:r>
    </w:p>
    <w:p w14:paraId="3E07C9F4" w14:textId="5A91E68A" w:rsidR="00F233EF" w:rsidRDefault="00F233EF" w:rsidP="00F233EF">
      <w:pPr>
        <w:pStyle w:val="ListParagraph"/>
        <w:numPr>
          <w:ilvl w:val="0"/>
          <w:numId w:val="22"/>
        </w:numPr>
        <w:rPr>
          <w:sz w:val="20"/>
          <w:szCs w:val="20"/>
          <w:lang w:val="en-US"/>
        </w:rPr>
      </w:pPr>
      <w:r>
        <w:rPr>
          <w:sz w:val="20"/>
          <w:szCs w:val="20"/>
          <w:lang w:val="en-US"/>
        </w:rPr>
        <w:t>Asynchronous NR-NR DC with MCG on FR1 and SCG on FR2</w:t>
      </w:r>
    </w:p>
    <w:p w14:paraId="2A461A8B" w14:textId="53526CC2" w:rsidR="00F233EF" w:rsidRDefault="00F233EF" w:rsidP="00F233EF">
      <w:pPr>
        <w:pStyle w:val="ListParagraph"/>
        <w:numPr>
          <w:ilvl w:val="0"/>
          <w:numId w:val="22"/>
        </w:numPr>
        <w:rPr>
          <w:sz w:val="20"/>
          <w:szCs w:val="20"/>
          <w:lang w:val="en-US"/>
        </w:rPr>
      </w:pPr>
      <w:r>
        <w:rPr>
          <w:sz w:val="20"/>
          <w:szCs w:val="20"/>
          <w:lang w:val="en-US"/>
        </w:rPr>
        <w:t>Synchronous and asynchronous NR-NR DC with MCG on FR2 and SCG on FR1</w:t>
      </w:r>
    </w:p>
    <w:p w14:paraId="0F0B779A" w14:textId="727D237E" w:rsidR="004741F0" w:rsidRDefault="004741F0" w:rsidP="00F233EF">
      <w:pPr>
        <w:pStyle w:val="ListParagraph"/>
        <w:numPr>
          <w:ilvl w:val="0"/>
          <w:numId w:val="22"/>
        </w:numPr>
        <w:rPr>
          <w:sz w:val="20"/>
          <w:szCs w:val="20"/>
          <w:lang w:val="en-US"/>
        </w:rPr>
      </w:pPr>
      <w:r w:rsidRPr="004741F0">
        <w:rPr>
          <w:sz w:val="20"/>
          <w:szCs w:val="20"/>
          <w:lang w:val="en-US"/>
        </w:rPr>
        <w:t>Synchronous and asynchronous NR-NR DC</w:t>
      </w:r>
      <w:r w:rsidR="00F233EF">
        <w:rPr>
          <w:sz w:val="20"/>
          <w:szCs w:val="20"/>
          <w:lang w:val="en-US"/>
        </w:rPr>
        <w:t xml:space="preserve"> w</w:t>
      </w:r>
      <w:r w:rsidR="00092E88" w:rsidRPr="00F233EF">
        <w:rPr>
          <w:sz w:val="20"/>
          <w:szCs w:val="20"/>
          <w:lang w:val="en-US"/>
        </w:rPr>
        <w:t xml:space="preserve">ith both MGC and SCG on </w:t>
      </w:r>
      <w:r w:rsidR="00F233EF">
        <w:rPr>
          <w:sz w:val="20"/>
          <w:szCs w:val="20"/>
          <w:lang w:val="en-US"/>
        </w:rPr>
        <w:t>the same frequency range (FR1 or FR2)</w:t>
      </w:r>
    </w:p>
    <w:p w14:paraId="45C79E72" w14:textId="77777777" w:rsidR="007100B0" w:rsidRDefault="007100B0" w:rsidP="007100B0">
      <w:pPr>
        <w:pStyle w:val="ListParagraph"/>
        <w:rPr>
          <w:sz w:val="20"/>
          <w:szCs w:val="20"/>
          <w:lang w:val="en-US"/>
        </w:rPr>
      </w:pPr>
    </w:p>
    <w:p w14:paraId="4C7659C4" w14:textId="135503E4" w:rsidR="00F233EF" w:rsidRDefault="00EA543D" w:rsidP="00594068">
      <w:pPr>
        <w:ind w:firstLineChars="50" w:firstLine="100"/>
        <w:rPr>
          <w:lang w:val="en-US"/>
        </w:rPr>
      </w:pPr>
      <w:r>
        <w:rPr>
          <w:lang w:val="en-US"/>
        </w:rPr>
        <w:t xml:space="preserve">Since </w:t>
      </w:r>
      <w:r w:rsidR="00F233EF">
        <w:rPr>
          <w:lang w:val="en-US"/>
        </w:rPr>
        <w:t xml:space="preserve">Rel-15 </w:t>
      </w:r>
      <w:r>
        <w:rPr>
          <w:lang w:val="en-US"/>
        </w:rPr>
        <w:t xml:space="preserve">clarified that no power sharing among NR on FR1 and NR on FR2 happens, </w:t>
      </w:r>
      <w:r w:rsidR="00F233EF">
        <w:rPr>
          <w:lang w:val="en-US"/>
        </w:rPr>
        <w:t>from the UL PC perspective</w:t>
      </w:r>
      <w:r>
        <w:rPr>
          <w:lang w:val="en-US"/>
        </w:rPr>
        <w:t>,</w:t>
      </w:r>
      <w:r w:rsidR="00F233EF">
        <w:rPr>
          <w:lang w:val="en-US"/>
        </w:rPr>
        <w:t xml:space="preserve"> it does not matter whether the MCG is on FR1 and SCG on FR2 or vice versa. Further, as the power controls operate independently, there is no difference whether the DC operation is synch or asynch as long as the MCG and SCG are on different frequency ranges.</w:t>
      </w:r>
    </w:p>
    <w:p w14:paraId="2A81EB65" w14:textId="3F8303C4" w:rsidR="00F233EF" w:rsidRPr="00594068" w:rsidRDefault="007100B0" w:rsidP="00F233EF">
      <w:pPr>
        <w:rPr>
          <w:b/>
          <w:i/>
          <w:lang w:val="en-US"/>
        </w:rPr>
      </w:pPr>
      <w:r w:rsidRPr="00594068">
        <w:rPr>
          <w:b/>
          <w:i/>
          <w:lang w:val="en-US"/>
        </w:rPr>
        <w:t xml:space="preserve">Observation </w:t>
      </w:r>
      <w:r w:rsidR="00EA543D" w:rsidRPr="00594068">
        <w:rPr>
          <w:b/>
          <w:i/>
          <w:lang w:val="en-US"/>
        </w:rPr>
        <w:t>3</w:t>
      </w:r>
      <w:r w:rsidRPr="00594068">
        <w:rPr>
          <w:b/>
          <w:i/>
          <w:lang w:val="en-US"/>
        </w:rPr>
        <w:t>: Rel-15 UL PC solution works as-is for synchronous and asynchronous EN-DC with MCG on FR1 and SCG on FR2 and vice versa.</w:t>
      </w:r>
    </w:p>
    <w:p w14:paraId="4A64121F" w14:textId="044C1D00" w:rsidR="004741F0" w:rsidRPr="007100B0" w:rsidRDefault="007100B0" w:rsidP="007100B0">
      <w:pPr>
        <w:rPr>
          <w:lang w:val="en-US"/>
        </w:rPr>
      </w:pPr>
      <w:r>
        <w:rPr>
          <w:lang w:val="en-US"/>
        </w:rPr>
        <w:t>Further, synchronous operation can be seen as a special case of asynchronous operation, and if Rel-16 is to support asynchronous operation, then synchronous operation is supported as a by-product without additional effort.</w:t>
      </w:r>
    </w:p>
    <w:p w14:paraId="1F66D7AE" w14:textId="20344A0D" w:rsidR="004741F0" w:rsidRPr="00594068" w:rsidRDefault="00F233EF" w:rsidP="004741F0">
      <w:pPr>
        <w:rPr>
          <w:b/>
          <w:i/>
          <w:lang w:val="en-US"/>
        </w:rPr>
      </w:pPr>
      <w:r w:rsidRPr="00594068">
        <w:rPr>
          <w:b/>
          <w:i/>
          <w:lang w:val="en-US"/>
        </w:rPr>
        <w:t>O</w:t>
      </w:r>
      <w:r w:rsidR="007100B0" w:rsidRPr="00594068">
        <w:rPr>
          <w:b/>
          <w:i/>
          <w:lang w:val="en-US"/>
        </w:rPr>
        <w:t xml:space="preserve">bservation </w:t>
      </w:r>
      <w:r w:rsidR="00EA543D">
        <w:rPr>
          <w:b/>
          <w:i/>
          <w:lang w:val="en-US"/>
        </w:rPr>
        <w:t>4</w:t>
      </w:r>
      <w:r w:rsidR="004741F0" w:rsidRPr="00594068">
        <w:rPr>
          <w:b/>
          <w:i/>
          <w:lang w:val="en-US"/>
        </w:rPr>
        <w:t>:</w:t>
      </w:r>
      <w:r w:rsidRPr="00594068">
        <w:rPr>
          <w:b/>
          <w:i/>
          <w:lang w:val="en-US"/>
        </w:rPr>
        <w:t xml:space="preserve"> Synchronous operation is a special case of asynchronous operation in what comes to power control, and thus it suffices to focus on asynchronous operation</w:t>
      </w:r>
    </w:p>
    <w:p w14:paraId="234F333C" w14:textId="70960B1B" w:rsidR="007100B0" w:rsidRPr="007100B0" w:rsidRDefault="007100B0" w:rsidP="00F233EF">
      <w:pPr>
        <w:rPr>
          <w:lang w:val="en-US"/>
        </w:rPr>
      </w:pPr>
      <w:r>
        <w:rPr>
          <w:lang w:val="en-US"/>
        </w:rPr>
        <w:t>The above discussion leads us to the proposal for the focus of the solution identification work:</w:t>
      </w:r>
    </w:p>
    <w:p w14:paraId="7CF9FAC4" w14:textId="278B22F5" w:rsidR="00F233EF" w:rsidRPr="00594068" w:rsidRDefault="00F233EF" w:rsidP="00F233EF">
      <w:pPr>
        <w:rPr>
          <w:b/>
          <w:i/>
          <w:lang w:val="en-US"/>
        </w:rPr>
      </w:pPr>
      <w:r w:rsidRPr="00594068">
        <w:rPr>
          <w:b/>
          <w:i/>
          <w:lang w:val="en-US"/>
        </w:rPr>
        <w:t>Proposal 1: The focus of the RAN1 work on UL PC is for the asynchronous NR-NR DC with both MCG and SCG on the same frequency range.</w:t>
      </w:r>
    </w:p>
    <w:p w14:paraId="758A5DEF" w14:textId="1F1863E8" w:rsidR="00EA543D" w:rsidRDefault="00EA543D" w:rsidP="00594068">
      <w:pPr>
        <w:ind w:firstLineChars="50" w:firstLine="100"/>
        <w:rPr>
          <w:lang w:val="en-US"/>
        </w:rPr>
      </w:pPr>
      <w:r>
        <w:rPr>
          <w:lang w:val="en-US"/>
        </w:rPr>
        <w:t xml:space="preserve">As multi-TRP operation being included in Rel-16, asynchronous CA/DC should include </w:t>
      </w:r>
      <w:r w:rsidR="009B4FA2">
        <w:rPr>
          <w:lang w:val="en-US"/>
        </w:rPr>
        <w:t xml:space="preserve">the deployment of </w:t>
      </w:r>
      <w:r>
        <w:rPr>
          <w:lang w:val="en-US"/>
        </w:rPr>
        <w:t>non-co-located cell</w:t>
      </w:r>
      <w:r w:rsidR="009B4FA2">
        <w:rPr>
          <w:lang w:val="en-US"/>
        </w:rPr>
        <w:t>s</w:t>
      </w:r>
      <w:r>
        <w:rPr>
          <w:lang w:val="en-US"/>
        </w:rPr>
        <w:t xml:space="preserve">. </w:t>
      </w:r>
      <w:r w:rsidR="009B4FA2">
        <w:rPr>
          <w:rFonts w:eastAsia="Malgun Gothic"/>
        </w:rPr>
        <w:t>Considering power control discussion in Rel-15, it is obvious that power control should be adjusted to the beam utilization at both UE and gNb side, so some technical difference can be found between the power control on co-located cells and non-co-located cells.</w:t>
      </w:r>
    </w:p>
    <w:p w14:paraId="71A45CC3" w14:textId="4689BB5D" w:rsidR="009B4FA2" w:rsidRDefault="009B4FA2" w:rsidP="009B4FA2">
      <w:pPr>
        <w:tabs>
          <w:tab w:val="left" w:pos="1440"/>
        </w:tabs>
        <w:spacing w:afterLines="50" w:after="120"/>
        <w:rPr>
          <w:rFonts w:eastAsia="Malgun Gothic"/>
          <w:b/>
          <w:i/>
        </w:rPr>
      </w:pPr>
      <w:r w:rsidRPr="00315A7B">
        <w:rPr>
          <w:rFonts w:eastAsia="Malgun Gothic" w:hint="eastAsia"/>
          <w:b/>
          <w:i/>
        </w:rPr>
        <w:t xml:space="preserve">Proposal </w:t>
      </w:r>
      <w:r>
        <w:rPr>
          <w:rFonts w:eastAsia="Malgun Gothic"/>
          <w:b/>
          <w:i/>
        </w:rPr>
        <w:t>2</w:t>
      </w:r>
      <w:r w:rsidRPr="00315A7B">
        <w:rPr>
          <w:rFonts w:eastAsia="Malgun Gothic" w:hint="eastAsia"/>
          <w:b/>
          <w:i/>
        </w:rPr>
        <w:t xml:space="preserve">: </w:t>
      </w:r>
      <w:r>
        <w:rPr>
          <w:rFonts w:eastAsia="Malgun Gothic"/>
          <w:b/>
          <w:i/>
        </w:rPr>
        <w:t>For NR-NR DC on the same frequency range, RAN1 should aim to drive u</w:t>
      </w:r>
      <w:r w:rsidRPr="00315A7B">
        <w:rPr>
          <w:rFonts w:eastAsia="Malgun Gothic"/>
          <w:b/>
          <w:i/>
        </w:rPr>
        <w:t xml:space="preserve">nified solution to cover all the </w:t>
      </w:r>
      <w:r>
        <w:rPr>
          <w:rFonts w:eastAsia="Malgun Gothic"/>
          <w:b/>
          <w:i/>
        </w:rPr>
        <w:t>possible scenarios, but separated discussion will be needed for co-located scenario and non-co-located scenario.</w:t>
      </w:r>
    </w:p>
    <w:p w14:paraId="27570124" w14:textId="2062D3DB" w:rsidR="004C222E" w:rsidRDefault="00EA543D" w:rsidP="00EA543D">
      <w:pPr>
        <w:rPr>
          <w:lang w:val="en-US"/>
        </w:rPr>
      </w:pPr>
      <w:r>
        <w:rPr>
          <w:lang w:val="en-US"/>
        </w:rPr>
        <w:t xml:space="preserve"> In Rel-15, power control of CA/DC was composed by two </w:t>
      </w:r>
      <w:r w:rsidR="00042AB0">
        <w:rPr>
          <w:lang w:val="en-US"/>
        </w:rPr>
        <w:t xml:space="preserve">separated </w:t>
      </w:r>
      <w:r>
        <w:rPr>
          <w:lang w:val="en-US"/>
        </w:rPr>
        <w:t xml:space="preserve">parts, inter-carrier/connection and power control per CC/connection. </w:t>
      </w:r>
      <w:r w:rsidR="004C222E">
        <w:rPr>
          <w:lang w:val="en-US"/>
        </w:rPr>
        <w:t xml:space="preserve">In Rel-16 scope, both multi-TRP operation in single cell and non-co-located cells operation in CA/DC are to be considered, so the similarity and the necessity of joint optimization needs to be further considered. </w:t>
      </w:r>
    </w:p>
    <w:p w14:paraId="687086C3" w14:textId="68719138" w:rsidR="004C222E" w:rsidRPr="00594068" w:rsidRDefault="004C222E" w:rsidP="00EA543D">
      <w:pPr>
        <w:rPr>
          <w:b/>
          <w:i/>
          <w:lang w:val="en-US"/>
        </w:rPr>
      </w:pPr>
      <w:r w:rsidRPr="00594068">
        <w:rPr>
          <w:b/>
          <w:i/>
          <w:lang w:val="en-US"/>
        </w:rPr>
        <w:t>Proposal 3:</w:t>
      </w:r>
      <w:r>
        <w:rPr>
          <w:b/>
          <w:i/>
          <w:lang w:val="en-US"/>
        </w:rPr>
        <w:t xml:space="preserve"> It would be beneficial to drivde universal solution on power control for single cell multi-TRP operation and non-co-located CA/DC operation. </w:t>
      </w:r>
    </w:p>
    <w:p w14:paraId="2EC3CC8F" w14:textId="77777777" w:rsidR="00900900" w:rsidRPr="004741F0" w:rsidRDefault="00900900" w:rsidP="00F233EF">
      <w:pPr>
        <w:rPr>
          <w:lang w:val="en-US"/>
        </w:rPr>
      </w:pPr>
    </w:p>
    <w:p w14:paraId="3489BE20" w14:textId="531F6E18" w:rsidR="00724A3D" w:rsidRDefault="00724A3D" w:rsidP="00724A3D">
      <w:pPr>
        <w:pStyle w:val="Heading1"/>
      </w:pPr>
      <w:r>
        <w:lastRenderedPageBreak/>
        <w:t>Conclusion</w:t>
      </w:r>
    </w:p>
    <w:p w14:paraId="65461410" w14:textId="794A7F98" w:rsidR="004741F0" w:rsidRDefault="00724A3D" w:rsidP="004741F0">
      <w:pPr>
        <w:rPr>
          <w:lang w:val="en-US"/>
        </w:rPr>
      </w:pPr>
      <w:r>
        <w:rPr>
          <w:rFonts w:hint="eastAsia"/>
          <w:lang w:val="en-US"/>
        </w:rPr>
        <w:t xml:space="preserve"> In this contribution, we take draft review on Rel-15 power control and extract required work</w:t>
      </w:r>
      <w:r>
        <w:rPr>
          <w:lang w:val="en-US"/>
        </w:rPr>
        <w:t>s</w:t>
      </w:r>
      <w:r>
        <w:rPr>
          <w:rFonts w:hint="eastAsia"/>
          <w:lang w:val="en-US"/>
        </w:rPr>
        <w:t xml:space="preserve"> for Rel-16 power control in NR-NR DC/CA </w:t>
      </w:r>
      <w:r>
        <w:rPr>
          <w:lang w:val="en-US"/>
        </w:rPr>
        <w:t>scenarios. The obse</w:t>
      </w:r>
      <w:r w:rsidR="00A168DC">
        <w:rPr>
          <w:lang w:val="en-US"/>
        </w:rPr>
        <w:t>rvations and proposals are summarized below.</w:t>
      </w:r>
    </w:p>
    <w:p w14:paraId="14C762C0" w14:textId="77777777" w:rsidR="00724A3D" w:rsidRDefault="00724A3D" w:rsidP="00724A3D">
      <w:r w:rsidRPr="008D6277">
        <w:rPr>
          <w:rFonts w:eastAsia="Malgun Gothic"/>
          <w:b/>
          <w:i/>
        </w:rPr>
        <w:t>O</w:t>
      </w:r>
      <w:r w:rsidRPr="008D6277">
        <w:rPr>
          <w:rFonts w:eastAsia="Malgun Gothic" w:hint="eastAsia"/>
          <w:b/>
          <w:i/>
        </w:rPr>
        <w:t xml:space="preserve">bservation </w:t>
      </w:r>
      <w:r w:rsidRPr="008D6277">
        <w:rPr>
          <w:rFonts w:eastAsia="Malgun Gothic"/>
          <w:b/>
          <w:i/>
        </w:rPr>
        <w:t>1:</w:t>
      </w:r>
      <w:r>
        <w:rPr>
          <w:rFonts w:eastAsia="Malgun Gothic"/>
          <w:b/>
          <w:i/>
        </w:rPr>
        <w:t xml:space="preserve"> Power control should be able to support beam specific operation</w:t>
      </w:r>
    </w:p>
    <w:p w14:paraId="55825502" w14:textId="77777777" w:rsidR="00724A3D" w:rsidRDefault="00724A3D" w:rsidP="00724A3D">
      <w:r w:rsidRPr="008D6277">
        <w:rPr>
          <w:rFonts w:eastAsia="Malgun Gothic"/>
          <w:b/>
          <w:i/>
        </w:rPr>
        <w:t>O</w:t>
      </w:r>
      <w:r w:rsidRPr="008D6277">
        <w:rPr>
          <w:rFonts w:eastAsia="Malgun Gothic" w:hint="eastAsia"/>
          <w:b/>
          <w:i/>
        </w:rPr>
        <w:t xml:space="preserve">bservation </w:t>
      </w:r>
      <w:r>
        <w:rPr>
          <w:rFonts w:eastAsia="Malgun Gothic"/>
          <w:b/>
          <w:i/>
        </w:rPr>
        <w:t>2</w:t>
      </w:r>
      <w:r w:rsidRPr="008D6277">
        <w:rPr>
          <w:rFonts w:eastAsia="Malgun Gothic"/>
          <w:b/>
          <w:i/>
        </w:rPr>
        <w:t>:</w:t>
      </w:r>
      <w:r>
        <w:rPr>
          <w:rFonts w:eastAsia="Malgun Gothic"/>
          <w:b/>
          <w:i/>
        </w:rPr>
        <w:t xml:space="preserve"> Rel-15 power control is composed by two separated parts, inter-carrier/connection power sharing and power control within each carrier/connection</w:t>
      </w:r>
    </w:p>
    <w:p w14:paraId="089426EE" w14:textId="77777777" w:rsidR="00724A3D" w:rsidRPr="004256F9" w:rsidRDefault="00724A3D" w:rsidP="00724A3D">
      <w:pPr>
        <w:rPr>
          <w:b/>
          <w:i/>
          <w:lang w:val="en-US"/>
        </w:rPr>
      </w:pPr>
      <w:r w:rsidRPr="004256F9">
        <w:rPr>
          <w:b/>
          <w:i/>
          <w:lang w:val="en-US"/>
        </w:rPr>
        <w:t>Observation 3: Rel-15 UL PC solution works as-is for synchronous and asynchronous EN-DC with MCG on FR1 and SCG on FR2 and vice versa.</w:t>
      </w:r>
    </w:p>
    <w:p w14:paraId="471F1819" w14:textId="77777777" w:rsidR="00724A3D" w:rsidRPr="004256F9" w:rsidRDefault="00724A3D" w:rsidP="00724A3D">
      <w:pPr>
        <w:rPr>
          <w:b/>
          <w:i/>
          <w:lang w:val="en-US"/>
        </w:rPr>
      </w:pPr>
      <w:r w:rsidRPr="004256F9">
        <w:rPr>
          <w:b/>
          <w:i/>
          <w:lang w:val="en-US"/>
        </w:rPr>
        <w:t>Proposal 1: The focus of the RAN1 work on UL PC is for the asynchronous NR-NR DC with both MCG and SCG on the same frequency range.</w:t>
      </w:r>
    </w:p>
    <w:p w14:paraId="2D66E8EF" w14:textId="77777777" w:rsidR="00724A3D" w:rsidRDefault="00724A3D" w:rsidP="00724A3D">
      <w:pPr>
        <w:tabs>
          <w:tab w:val="left" w:pos="1440"/>
        </w:tabs>
        <w:spacing w:afterLines="50" w:after="120"/>
        <w:rPr>
          <w:rFonts w:eastAsia="Malgun Gothic"/>
          <w:b/>
          <w:i/>
        </w:rPr>
      </w:pPr>
      <w:r w:rsidRPr="00315A7B">
        <w:rPr>
          <w:rFonts w:eastAsia="Malgun Gothic" w:hint="eastAsia"/>
          <w:b/>
          <w:i/>
        </w:rPr>
        <w:t xml:space="preserve">Proposal </w:t>
      </w:r>
      <w:r>
        <w:rPr>
          <w:rFonts w:eastAsia="Malgun Gothic"/>
          <w:b/>
          <w:i/>
        </w:rPr>
        <w:t>2</w:t>
      </w:r>
      <w:r w:rsidRPr="00315A7B">
        <w:rPr>
          <w:rFonts w:eastAsia="Malgun Gothic" w:hint="eastAsia"/>
          <w:b/>
          <w:i/>
        </w:rPr>
        <w:t xml:space="preserve">: </w:t>
      </w:r>
      <w:r>
        <w:rPr>
          <w:rFonts w:eastAsia="Malgun Gothic"/>
          <w:b/>
          <w:i/>
        </w:rPr>
        <w:t>For NR-NR DC on the same frequency range, RAN1 should aim to drive u</w:t>
      </w:r>
      <w:r w:rsidRPr="00315A7B">
        <w:rPr>
          <w:rFonts w:eastAsia="Malgun Gothic"/>
          <w:b/>
          <w:i/>
        </w:rPr>
        <w:t xml:space="preserve">nified solution to cover all the </w:t>
      </w:r>
      <w:r>
        <w:rPr>
          <w:rFonts w:eastAsia="Malgun Gothic"/>
          <w:b/>
          <w:i/>
        </w:rPr>
        <w:t>possible scenarios, but separated discussion will be needed for co-located scenario and non-co-located scenario.</w:t>
      </w:r>
    </w:p>
    <w:p w14:paraId="1E289130" w14:textId="3AD2674C" w:rsidR="00724A3D" w:rsidRPr="00594068" w:rsidRDefault="00724A3D" w:rsidP="004741F0">
      <w:pPr>
        <w:rPr>
          <w:b/>
          <w:i/>
          <w:lang w:val="en-US"/>
        </w:rPr>
      </w:pPr>
      <w:r w:rsidRPr="004256F9">
        <w:rPr>
          <w:rFonts w:hint="eastAsia"/>
          <w:b/>
          <w:i/>
          <w:lang w:val="en-US"/>
        </w:rPr>
        <w:t>Proposal 3:</w:t>
      </w:r>
      <w:r>
        <w:rPr>
          <w:b/>
          <w:i/>
          <w:lang w:val="en-US"/>
        </w:rPr>
        <w:t xml:space="preserve"> It would be beneficial to drivde universal solution on power control for single cell multi-TRP operation and non-co-located CA/DC operation. </w:t>
      </w:r>
    </w:p>
    <w:p w14:paraId="53CD9119" w14:textId="77777777" w:rsidR="00885580" w:rsidRPr="00ED1327" w:rsidRDefault="00885580" w:rsidP="00885580">
      <w:pPr>
        <w:pStyle w:val="Heading1"/>
        <w:numPr>
          <w:ilvl w:val="0"/>
          <w:numId w:val="0"/>
        </w:numPr>
      </w:pPr>
      <w:r>
        <w:t>References</w:t>
      </w:r>
    </w:p>
    <w:p w14:paraId="720B4C8B" w14:textId="41E2D138" w:rsidR="00B158E6" w:rsidRPr="00B158E6" w:rsidRDefault="00B21C2C" w:rsidP="00B158E6">
      <w:pPr>
        <w:pStyle w:val="ListParagraph"/>
        <w:numPr>
          <w:ilvl w:val="0"/>
          <w:numId w:val="12"/>
        </w:numPr>
        <w:spacing w:after="120"/>
        <w:ind w:left="357" w:hanging="357"/>
        <w:contextualSpacing w:val="0"/>
        <w:rPr>
          <w:sz w:val="20"/>
          <w:lang w:val="en-US"/>
        </w:rPr>
      </w:pPr>
      <w:hyperlink r:id="rId13" w:history="1">
        <w:r w:rsidR="005B0D4A" w:rsidRPr="005B0D4A">
          <w:rPr>
            <w:rStyle w:val="Hyperlink"/>
            <w:sz w:val="20"/>
            <w:szCs w:val="20"/>
            <w:lang w:val="en-US" w:eastAsia="x-none"/>
          </w:rPr>
          <w:t>RP-182076</w:t>
        </w:r>
      </w:hyperlink>
      <w:r w:rsidR="00B158E6">
        <w:rPr>
          <w:sz w:val="20"/>
          <w:lang w:val="en-US"/>
        </w:rPr>
        <w:tab/>
      </w:r>
      <w:r w:rsidR="00AF48A0" w:rsidRPr="00B158E6">
        <w:rPr>
          <w:sz w:val="20"/>
          <w:lang w:val="en-US"/>
        </w:rPr>
        <w:t>“</w:t>
      </w:r>
      <w:r w:rsidR="005B0D4A" w:rsidRPr="00B158E6">
        <w:rPr>
          <w:sz w:val="20"/>
          <w:lang w:val="en-US"/>
        </w:rPr>
        <w:t>WID on Multi-RAT Dual-Connectivity and Carrier Aggregation enhancements (LTE_NR_DC_CA_enh-Core)”, Ericsson, Nokia, Nokia Shanghai Bell, Huawei</w:t>
      </w:r>
    </w:p>
    <w:p w14:paraId="29452B42" w14:textId="66FF6958" w:rsidR="005B0D4A" w:rsidRPr="00B158E6" w:rsidRDefault="00B21C2C" w:rsidP="00B158E6">
      <w:pPr>
        <w:pStyle w:val="ListParagraph"/>
        <w:numPr>
          <w:ilvl w:val="0"/>
          <w:numId w:val="12"/>
        </w:numPr>
        <w:spacing w:after="120"/>
        <w:ind w:left="357" w:hanging="357"/>
        <w:contextualSpacing w:val="0"/>
        <w:rPr>
          <w:sz w:val="20"/>
          <w:lang w:val="en-US"/>
        </w:rPr>
      </w:pPr>
      <w:hyperlink r:id="rId14" w:history="1">
        <w:r w:rsidR="00B158E6">
          <w:rPr>
            <w:rStyle w:val="Hyperlink"/>
            <w:sz w:val="20"/>
            <w:szCs w:val="20"/>
            <w:lang w:val="en-US" w:eastAsia="x-none"/>
          </w:rPr>
          <w:t>RP-182083</w:t>
        </w:r>
      </w:hyperlink>
      <w:r w:rsidR="00B158E6">
        <w:rPr>
          <w:sz w:val="20"/>
          <w:lang w:val="en-US"/>
        </w:rPr>
        <w:tab/>
      </w:r>
      <w:r w:rsidR="005B0D4A" w:rsidRPr="00B158E6">
        <w:rPr>
          <w:sz w:val="20"/>
          <w:lang w:val="en-US"/>
        </w:rPr>
        <w:t>“</w:t>
      </w:r>
      <w:r w:rsidR="00B158E6" w:rsidRPr="00B158E6">
        <w:rPr>
          <w:sz w:val="20"/>
          <w:lang w:val="en-US"/>
        </w:rPr>
        <w:t>Rel-15 Work Item Exception for New Radio Access Technology – Core”, NTT DOCOMO INC.</w:t>
      </w:r>
    </w:p>
    <w:sectPr w:rsidR="005B0D4A" w:rsidRPr="00B158E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97FB4" w14:textId="77777777" w:rsidR="003B7502" w:rsidRDefault="003B7502">
      <w:r>
        <w:separator/>
      </w:r>
    </w:p>
  </w:endnote>
  <w:endnote w:type="continuationSeparator" w:id="0">
    <w:p w14:paraId="0349092E" w14:textId="77777777" w:rsidR="003B7502" w:rsidRDefault="003B7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84A7E" w14:textId="77777777" w:rsidR="003B7502" w:rsidRDefault="003B7502">
      <w:r>
        <w:separator/>
      </w:r>
    </w:p>
  </w:footnote>
  <w:footnote w:type="continuationSeparator" w:id="0">
    <w:p w14:paraId="5ED80566" w14:textId="77777777" w:rsidR="003B7502" w:rsidRDefault="003B7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0F4D25"/>
    <w:multiLevelType w:val="hybridMultilevel"/>
    <w:tmpl w:val="7BB67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CA341FA"/>
    <w:multiLevelType w:val="hybridMultilevel"/>
    <w:tmpl w:val="5E9CEA0C"/>
    <w:lvl w:ilvl="0" w:tplc="E5F812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1208D2"/>
    <w:multiLevelType w:val="hybridMultilevel"/>
    <w:tmpl w:val="4A90EA86"/>
    <w:lvl w:ilvl="0" w:tplc="444812A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F1B484B"/>
    <w:multiLevelType w:val="hybridMultilevel"/>
    <w:tmpl w:val="44D876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6AB3345F"/>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2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0"/>
  </w:num>
  <w:num w:numId="4">
    <w:abstractNumId w:val="1"/>
  </w:num>
  <w:num w:numId="5">
    <w:abstractNumId w:val="11"/>
  </w:num>
  <w:num w:numId="6">
    <w:abstractNumId w:val="18"/>
  </w:num>
  <w:num w:numId="7">
    <w:abstractNumId w:val="12"/>
  </w:num>
  <w:num w:numId="8">
    <w:abstractNumId w:val="10"/>
  </w:num>
  <w:num w:numId="9">
    <w:abstractNumId w:val="21"/>
  </w:num>
  <w:num w:numId="10">
    <w:abstractNumId w:val="3"/>
  </w:num>
  <w:num w:numId="11">
    <w:abstractNumId w:val="13"/>
  </w:num>
  <w:num w:numId="12">
    <w:abstractNumId w:val="2"/>
  </w:num>
  <w:num w:numId="13">
    <w:abstractNumId w:val="8"/>
  </w:num>
  <w:num w:numId="14">
    <w:abstractNumId w:val="15"/>
  </w:num>
  <w:num w:numId="15">
    <w:abstractNumId w:val="22"/>
  </w:num>
  <w:num w:numId="16">
    <w:abstractNumId w:val="9"/>
  </w:num>
  <w:num w:numId="17">
    <w:abstractNumId w:val="20"/>
  </w:num>
  <w:num w:numId="18">
    <w:abstractNumId w:val="19"/>
  </w:num>
  <w:num w:numId="19">
    <w:abstractNumId w:val="4"/>
  </w:num>
  <w:num w:numId="20">
    <w:abstractNumId w:val="7"/>
  </w:num>
  <w:num w:numId="21">
    <w:abstractNumId w:val="14"/>
  </w:num>
  <w:num w:numId="22">
    <w:abstractNumId w:val="17"/>
  </w:num>
  <w:num w:numId="2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2AB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2E88"/>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394"/>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F39"/>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3FE"/>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02"/>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665"/>
    <w:rsid w:val="004708C0"/>
    <w:rsid w:val="0047115F"/>
    <w:rsid w:val="004715CB"/>
    <w:rsid w:val="00471863"/>
    <w:rsid w:val="00473777"/>
    <w:rsid w:val="00473A14"/>
    <w:rsid w:val="004741F0"/>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3FB2"/>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222E"/>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4068"/>
    <w:rsid w:val="00595A8C"/>
    <w:rsid w:val="00595C2C"/>
    <w:rsid w:val="00596BBA"/>
    <w:rsid w:val="00597386"/>
    <w:rsid w:val="005975C4"/>
    <w:rsid w:val="00597ED8"/>
    <w:rsid w:val="005A17AE"/>
    <w:rsid w:val="005A2B20"/>
    <w:rsid w:val="005A34D5"/>
    <w:rsid w:val="005A3943"/>
    <w:rsid w:val="005A4904"/>
    <w:rsid w:val="005A515A"/>
    <w:rsid w:val="005A704D"/>
    <w:rsid w:val="005B0D4A"/>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01A9"/>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888"/>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4C16"/>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0B0"/>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A3D"/>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0D3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4CB1"/>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7B4"/>
    <w:rsid w:val="008E4A31"/>
    <w:rsid w:val="008E5657"/>
    <w:rsid w:val="008E5E51"/>
    <w:rsid w:val="008F00DB"/>
    <w:rsid w:val="008F1264"/>
    <w:rsid w:val="008F2908"/>
    <w:rsid w:val="008F47C6"/>
    <w:rsid w:val="008F6647"/>
    <w:rsid w:val="008F700E"/>
    <w:rsid w:val="00900343"/>
    <w:rsid w:val="009006A2"/>
    <w:rsid w:val="00900900"/>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4FA2"/>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8DC"/>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A7871"/>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8E6"/>
    <w:rsid w:val="00B15B89"/>
    <w:rsid w:val="00B1746F"/>
    <w:rsid w:val="00B20725"/>
    <w:rsid w:val="00B2087E"/>
    <w:rsid w:val="00B20B11"/>
    <w:rsid w:val="00B20B94"/>
    <w:rsid w:val="00B21C2C"/>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6A5"/>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715"/>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43D"/>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33E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254"/>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B41"/>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192305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1/Docs/RP-182076.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TSG_RAN/TSGR_81/Docs/RP-1820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5AIRPNAIUNRU-1830940522-4654</_dlc_DocId>
    <_dlc_DocIdUrl xmlns="71c5aaf6-e6ce-465b-b873-5148d2a4c105">
      <Url>https://nokia.sharepoint.com/sites/c5g/5gradio/_layouts/15/DocIdRedir.aspx?ID=5AIRPNAIUNRU-1830940522-4654</Url>
      <Description>5AIRPNAIUNRU-1830940522-4654</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EA9B3C74-8D50-45BC-A50A-668BB5866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1231</Words>
  <Characters>6742</Characters>
  <Application>Microsoft Office Word</Application>
  <DocSecurity>4</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2019-01-11T08:29:00Z</dcterms:created>
  <dcterms:modified xsi:type="dcterms:W3CDTF">2019-01-11T08:29:00Z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e235b20d-59b4-430b-af79-4a7befeef33f</vt:lpwstr>
  </property>
</Properties>
</file>